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>
        <w:rPr>
          <w:rFonts w:ascii="Arial" w:hAnsi="Arial" w:eastAsia="Arial" w:cs="Arial"/>
          <w:b/>
          <w:color w:val="000000"/>
          <w:sz w:val="24"/>
        </w:rPr>
        <w:t xml:space="preserve">ПРАВИТЕЛЬСТВО ЯМАЛО-НЕНЕЦКОГО АВТОНОМНОГО ОКРУГА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ПОСТАНОВЛЕНИЕ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3 июля 2019 г. N 701-П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УЧРЕЖДЕНИИ СПЕЦИАЛЬНОЙ ПРОФЕССИОНАЛЬНОЙ ПРЕМИИ В СФЕРЕ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КУЛЬТУРЫ "СОБЫТИЕ ГОДА"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Список изменяющих документов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(в ред. постановлений Правительства ЯНАО от 15.08.2019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896-П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13.02.2020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142-П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04.03.2020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218-П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14.05.2021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375-П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16.11.2021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1005-П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12.05.2022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447-П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14.07.2022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691-П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15.07.2022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702-П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20.10.2022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989-П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20.02.2023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133-П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) 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пунктом 4 статьи 78.1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Бюджетного кодекса Российской Федерации, в целях создания условий для развития творческих инноваций в сфере культуры, повышения профессионального престижа работников отрасли культуры Правительство Ямало-Ненецкого автономного округа постановляет: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Учредить специальную профессиональную премию в сфере культуры "Событие года".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Установить, что ежегодно присуждается не более одной специальной профессиональной премии в сфере культуры "Событие года", которая включает в себя свидетельство лауреата премии и денежное вознаграждение в размере 1 000 000 (один миллион) рублей.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15.07.2022 N 702-П)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Утвердить: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ff"/>
          <w:sz w:val="24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 специальной профессиональной премии в сфере культуры "Событие года" согласно приложению N 1;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ff"/>
          <w:sz w:val="24"/>
        </w:rPr>
        <w:t xml:space="preserve">Порядок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предоставления из окружного бюджета гранта в форме субсидии на выплату специальной профессиональной премии в сфере культуры "Событие года" согласно приложению N 2.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Признать утратившими силу: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Ямало-Ненецкого автономного округа от 13 апреля 2016 года N 344-П "Об утверждении Порядка предоставления из окружного бюджета гранта в форме субсидии лауреату специальной профессиональной премии в сфере культуры "Событие года";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 26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изменений, которые вносятся в некоторые постановления Правительства Ямало-Ненецкого автономного округа, утвержденных постановлением Правительства Ямало-Ненецкого автономного округа от 31 марта 2017 года N 242-П;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изменений, которые вносятся в некоторые постановления Правительства Ямало-Ненецкого автономного округа, утвержденных постановлением Правительства Ямало-Ненецкого автономного округа от 10 октября 2018 года N 1039-П;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постановления Правительства Ямало-Ненецкого автономного округа от 12 ноября 2018 года N 1146-П "О внесении изменений в некоторые постановления Правительства Ямало-Ненецкого автономного округа".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Настоящее постановление вступает в силу с момента вступления в силу постановления Губернатора Ямало-Ненецкого автономного округа о признании утратившим силу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Губернатора Ямало-Ненецкого автономного округа от 10 декабря 2013 года N 186-ПГ "Об учреждении специальной профессиональной премии в сфере культуры "Событие года".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Утратил силу. -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13.02.2020 N 142-П.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Губернатор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Ямало-Ненецкого автономного округа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Д.А.АРТЮХОВ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1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Утверждено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постановлением Правительства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Ямало-Ненецкого автономного округа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3 июля 2019 года N 701-П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ПОЛОЖЕНИЕ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СПЕЦИАЛЬНОЙ ПРОФЕССИОНАЛЬНОЙ ПРЕМИИ В СФЕРЕ КУЛЬТУРЫ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"СОБЫТИЕ ГОДА"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Список изменяющих документов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(в ред. постановлений Правительства ЯНАО от 15.08.2019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896-П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13.02.2020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142-П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04.03.2020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218-П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14.05.2021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375-П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20.10.2022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989-П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20.02.2023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133-П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) 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Специальная профессиональная премия в сфере культуры "Событие года" (далее - премия) присуждается автономным или бюджетным государственным учреждениям культуры и искусства Ямало-Ненецкого автономного округа, автономным или бюджетным муниципальным учрежд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ениям культуры и искусства в Ямало-Ненецком автономном округе, автономным или бюджетным муниципальным образовательным организациям дополнительного образования в Ямало-Ненецком автономном округе, реализующим дополнительные общеобразовательные программы в об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ласти культуры и искусств (далее - учреждения (организации), автономный округ), за лучший творческий проект, отличающийся новизной и оригинальностью, реализованный в году проведения отбора на получение премии, в следующих областях: сценическое, музыкальное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искусство, другие виды и жанры искусства; художественные народные промыслы и ремесла; самодеятельное (любительское) художественное творчество; музейное дело; библиотечное дело; художественное образование; иная деятельность, в результате которой сохраняютс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я, создаются, распространяются и осваиваются культурные ценности (далее - творческий проект).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Премия в виде гранта в форме субсидии присуждается учреждению (организации), удостоенной премии, по результатам ежегодного отбора на получение премии, проводимого департаментом культуры автономного округа (далее - департамент культуры, премия, грант).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Способ проведения отбора на получение премии - конкурс, который проводится при определении получателя гранта, исходя из наилучших условий достижения целей (результатов) предоставления гранта (далее - конкурс).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2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Конкурс объявляется департаментом культуры ежегодно, до 01 ноября.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 Правительства ЯНАО от 16.11.2021 N 1005-П с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01.01.2025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 в абз. 1 п. 4 слова "(при наличии технической возможности)" будут заменены словами "(в случае проведения конкурса в государственной интегрированной информационной системе управления общественными финансами "Электронный бюджет") или на ином сайте, на котор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ом обеспечивается проведение отбора (с размещением указателя страницы сайта на едином портале)".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Объявление о проведении конкурса размещается на едином портале бюджетной системы Российской Федерации в информационно-телекоммуникационной сети Интернет (далее - единый портал) (при наличии технической возможности), а также на официальном интернет-сайте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уполномоченного органа </w:t>
      </w:r>
      <w:hyperlink r:id="rId8" w:tooltip="&lt;div class=&quot;doc www&quot;&gt;&lt;span class=&quot;aligner&quot;&gt;&lt;div class=&quot;icon listDocWWW-16&quot;&gt;&lt;/div&gt;&lt;/span&gt;https://depcul.yanao.ru&lt;/div&gt;" w:history="1">
        <w:r>
          <w:rPr>
            <w:rStyle w:val="793"/>
            <w:rFonts w:ascii="Times New Roman" w:hAnsi="Times New Roman" w:eastAsia="Times New Roman" w:cs="Times New Roman"/>
            <w:color w:val="0000ff"/>
            <w:sz w:val="24"/>
          </w:rPr>
          <w:t xml:space="preserve">https://depcul.yanao.ru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не позднее 01 ноября соответствующего финансового года.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Объявление о проведении конкурса должно содержать информацию, предусмотренную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подпунктом "б" пункта 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работ, услуг, утвержденных постановлением Правительства Российской Федерации от 18 сентября 2020 года N 1492. 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4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Учреждение (организация) ежегодно, до 05 декабря, представляет в департамент культуры по адресу: 629007, Ямало-Ненецкий автономный округ, г. Салехард, ул. Республики, д. 29 или на адрес электронной почты: depcul@yanao.ru заявку на соискание премии (дале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- заявка), которая должна содержать: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20.02.2023 N 133-П)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5.1.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представление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соискание премии по форме согласно приложению N 1 к настоящему Положению, которое включает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иной информации об участнике конкурса, связанной с соответствующим конкурсом; 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(пп. 5.1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справку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 профессионально-творческой деятельности учреждения (организации) по форме согласно приложению N 2 к настоящему Положению (документы, указанные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пункте 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справки о профессионально-творческой деятельности учреждения (организации), представляются при наличии, и их отсутствие не является основанием для отклонения заявки на стадии рассмотрения и оценки заявок); 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5.3. наглядные материалы о творческом проекте (фотографии, видео- и аудиоматериалы, презентации (не более 10 слайдов), издания или другие документы);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5.4. согласие органа, осуществляющего функции и полномочия учредителя учреждения (организации) на участие в конкурсе, оформленное на бланке соответствующего органа (не представляется учреждениями (организациями), функции и полномочия учредителя которых осу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ществляет департамент культуры).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Поступившие конкурсные заявки регистрируются в департаменте культуры с указанием даты и времени их поступления.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Заявки поступившие в департамент культуры после окончания срока их подачи, указанного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пункте 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Положения, рассмотрению и возврату не подлежат.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6-1. Участники конкурса должны соответствовать следующим требованиям на первое число месяца, предшествующего месяцу подачи заявки: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6-1.1.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ий (офшорные зоны), в совокупности превышает 25 процентов;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20.10.2022 N 989-П)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6-1.2. участник конкурса не получает средства из окружного бюджета в соответствии с иными правовыми актами на цели, установленные настоящим Порядком;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6-1.3. у участника конкурса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6-1.4.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6-1 введен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Учреждения (организации), удостоенные премии, могут выдвигаться на присуждение премии не ранее чем через три года после предыдущего присуждения премии и не могут выдвигаться на присуждение премии повторно с одним и тем же творческим проектом.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Департамент культуры в течение 10 дней со дня окончания срока подачи заявок, указанного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пункте 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Положения, осуществляет рассмотрение заявок на предмет их соответствия установленным в объявлении о проведении конкурса требованиям. 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Основаниями для отклонения заявки на стадии рассмотрения и оценки заявок являются: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9.1. несоответствие представленной участником конкурса заявки требованиям к заявкам, установленным в соответствии с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пунктом 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 в объявлении о проведении конкурса;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9.2. недостоверность представленной участником конкурса информации, в том числе информации о месте нахождения и адресе юридического лица;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9.3. несоответствие участника конкурса требованиям, установленным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пунктах 6-1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9.4. подача участником конкурса заявки после даты и (или) времени, определенных для подачи заявок.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9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Департамент культуры в течение 5 дней со дня окончания срока рассмотрения заявок на предмет их соответствия установленным в объявлении о проведении конкурса требованиям, указанного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пункте 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Положения, направляет заявки, которые не были отклонены на стадии их рассмотрения, для оценки конкурсной комиссии, создаваемой приказом департамента культуры. 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10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10-1. В целях организации проведения оценки заявок департамент культуры ежегодно формирует конкурсную комиссию с привлечением представителей общественных организаций, независимых экспертов с высшим профессиональным образованием в области культуры и искусст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ва, опытом работы (свыше 10 лет) по специальности (по согласованию), а также специалистов государственных учреждений культуры и искусства автономного округа при условии, что учреждение, которое они представляют, не является соискателем премии в текущем год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у. Количество представителей общественных организаций должно составлять не менее 2/3 от общего количества членов конкурсной комиссии.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10-1 введен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04.03.2020 N 218-П;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Рассмотрение заявок осуществляется конкурсной комиссией ежегодно, не позднее 25 декабря.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Оценка заявок проводится членами конкурсной комиссии на основании следующих критериев: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12.1. новизна и оригинальность творческого проекта (на основании информации, указанной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пункте 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справки о профессионально-творческой деятельности учреждения (организации), являющейся приложением N 2 к настоящему Положению);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12.2. долгосрочность и перспективность творческого проекта (на основании информации, указанной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пункте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справки о профессионально-творческой деятельности учреждения (организации), являющейся приложением N 2 к настоящему Положению):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12.3. научно-методическое и просветительское значение творческого проекта (на основании информации, указанной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пункте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справки о профессионально-творческой деятельности учреждения (организации), являющейся приложением N 2 к настоящему Положению);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12.4. общественное признание творческого проекта (наличие отзывов в средствах массовой информации, аннотаций, рецензий, грамот, дипломов или других документов) (на основании информации, указанной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пункте 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справки о профессионально-творческой деятельности учреждения (организации), являющейся приложением N 2 к настоящему Положению).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Оценка по данным критериям осуществляется путем суммирования баллов следующим образом: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66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20"/>
        <w:gridCol w:w="1305"/>
        <w:gridCol w:w="1305"/>
        <w:gridCol w:w="1305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Критерий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Низкий уровень (в баллах)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Средний уровень (в баллах)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Высокий уровень (в баллах)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Новизна и оригинальность творческого проекта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Долгосрочность и перспективность творческого проекта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Научно-методическое и просветительское значение творческого проекта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Общественное признание творческого проекта (наличие отзывов в средствах массовой информации, аннотаций, рецензий, грамот, дипломов или других документов)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</w:tr>
    </w:tbl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13-1. При вычислении общей суммы оценок в баллах по каждому критерию применяется весовое значение в общей оценке, равное 1.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13-1 введен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14. В соответствии с итоговыми баллами члены конкурсной комиссии присваивают порядковые номера заявкам (далее - рейтинг заявок), начиная от заявки, получившей максимальный итоговый балл.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14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15. В соответствии с составленным рейтингом заявок учреждение (организация), заявка которого получила максимальный итоговый балл, решением конкурсной комиссии признается кандидатом на присуждение премии.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если в соответствии с рейтингом заявок несколько заявок получили одинаковый максимальный итоговый балл, решением конкурсной комиссии кандидатом на присуждение премии признается учреждение (организация) заявка которого поступила ранее, исходя из 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ты и времени поступления, указанных при регистрации.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16. Решение конкурсной комиссии оформляется протоколом не позднее 3 дней после заседания конкурсной комиссии.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Абзац утратил силу. -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375-П. 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16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04.03.2020 N 218-П)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 Решение о присуждении премии принимает Правительство автономного округа в форме распоряжения Правительства автономного округа.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18. На основании протокола конкурсной комиссии департамент культуры в течение 30 дней готовит и в установленном законодательством автономного округа порядке вносит на рассмотрение Правительству автономного округа проект распоряжения Правительства автономно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 округа о присуждении премии для принятия им решения о присуждении премии.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19. Учреждению (организации), удостоенной премии, в торжественной обстановке вручается свидетельство лауреата премии в году, следующем за годом проведения конкурса.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1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Положению о специальной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профессиональной премии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сфере культуры "Событие года"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 ПРЕДСТАВЛЕНИЯ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Список изменяющих документов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(в ред. постановлений Правительства ЯНАО от 04.03.2020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218-П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14.05.2021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375-П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20.10.2022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989-П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) 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                            Директору департамента культуры                                        Ямало-Ненецкого автономного округа                                        ___________________________________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     (Ф.И.О.)                                ПРЕДСТАВЛЕНИЕ             на соискание специальной профессиональной премии                      в сфере культуры "Событие года"                              I. Общие сведения     1.  Наименование авт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ономного или бюджетного государственного учреждениякультуры  и  искусства  Ямало-Ненецкого автономного округа, автономного илибюджетного  муниципального учреждения культуры и искусства в Ямало-Ненецкомавтономном  округе,  автономной или бюджетной муниципал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ьной образовательнойорганизации дополнительного образования в Ямало-Ненецком автономном округе,реализующей дополнительные общеобразовательные программы в области культурыи  искусств  (далее  -  учреждения  (организации)  (полное  наименование  всоответстви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с Уставом) __________________________________________________.    2. Адрес юридический __________________________________________________    3. Адрес места нахождения _____________________________________________    4. Адрес электронной почты 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    5. Телефон/факс _______________________________________________________    6. Наименование творческого проекта ___________________________________                      II. Описание творческого проекта.           III. Ин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формация о соответствии учреждения (организации)            установленным требованиям и согласие на публикацию                                информации     Настоящим сообщаю, что учреждение (организация) соответствует следующимтребованиям на первое число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месяца, предшествующего месяцу подачи заявки насоискание  специальной  профессиональной  премии  в сфере культуры "Событиегода" (далее - премия):    - учреждение (организация) не является иностранным юридическим лицом, атакже  российским  юридическим  лицо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м,  в  уставном  (складочном)  капиталекоторого  доля  участия  иностранных  юридических  лиц,  местом регистрациикоторых   является  государство  (территория),  включенное  в  утверждаемыйМинистерством   финансов   Российской   Федерации   перечень  госуд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арств  итерриторий,  предоставляющих  льготный  налоговый  режим  налогообложения и(или)  не  предусматривающих  раскрытия  и  предоставления  информации  припроведении финансовых операций (офшорные зоны), в совокупности превышает 25процентов;    -  учрежд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ение (организация) не получает средства из окружного бюджета всоответствии  с  иными  правовыми  актами  на  цели, установленные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Порядком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предоставления  из  окружного  бюджета  гранта  в форме субсидии на выплатуспециальной  профессиональной  премии  в  сфере  культуры  "Событие  года",утвержденным   постановлением   Правительства  Ямало-Ненецкого  автономногоокруга от 03 июля 2019 года N 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01-П;    -  у  учреждения (организации) отсутствует неисполненная обязанность поуплате  налогов,  сборов,  страховых  взносов,  пеней,  штрафов, процентов,подлежащих уплате в соответствии с законодательством Российской Федерации оналогах и сборах;    -  уч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реждение  (организация)  не находится в процессе реорганизации (заисключением  реорганизации  в  форме  присоединения  к  юридическому  лицу,являющемуся  участником  конкурса,  другого юридического лица), в отношениинего    не   введена   процедура   банкр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отства,   деятельность   учреждения(организации)     не     приостановлена    в    порядке,    предусмотренномзаконодательством Российской Федерации.    Настоящим даю согласие на публикацию (размещение) винформационно-телекоммуникационной  сети  Интернет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нформации о юридическомлице  как об участнике конкурса на соискание премии, о подаваемой заявке насоискание   премии,   иной  информации  о  юридическом  лице,  связанной  ссоответствующим конкурсом.    Настоящим    подтверждаю    достоверность    сведений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  и   документов,представленных в составе заявки на соискание премии. Руководитель(иное уполномоченноелицо) учреждения (организации) ___________ _________________________                                (подпись)    (расшифровка подписи)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2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Положению о специальной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профессиональной премии в сфере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культуры "Событие года"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 СПРАВКИ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Список изменяющих документов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 Правительства ЯНАО от 13.02.2020 N 142-П) 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СПРАВКА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 профессионально-творческой деятельности учреждения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(организации)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66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60"/>
        <w:gridCol w:w="8325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Информация о новизне и оригинальности творческого проекта: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культурно-досуговой сфере, - приоритетные направления работы; внедрение новых форм и методов культурно-досуговой деятельности;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библиотечной сфере, - инновационные подходы к расширению форм обслуживания населения, созданию привлекательного имиджа учреждения (организации); внедрение информационных технологий в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библиотеки;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образовательной организации дополнительного образования в автономном округе, реализующей дополнительные общеобразовательные программы в области культуры и искусств, - перспективные направления развития учреждения (организации); новые формы и методы раб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оты;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музейной сфере, - приоритетные и перспективные направления деятельности, наличие концепции развития;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центров или домов ремесел - программа развития учреждения (организации); новые формы и методы работы;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сфере исполнительского искусства, - приоритетные и перспективные направления деятельности, наличие концепции развития; репертуарный план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Информация о перспективах развития творческого проекта: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культурно-досуговой сфере, - участие в культурной жизни муниципального образования в автономном округе и автономного округа; гастрольная деятельность творческих коллективов;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библиотечной сфере, - краеведческая деятельность; издательская деятельность; участие в культурной жизни муниципального образования в автономном округе;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образовательной организации дополнительного образования в автономном округе, реализующей дополнительные общеобразовательные программы в области культуры и искусств, - концертные программы, гастрольная деятельность; методическая и издательская деятельно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сть учреждения (организации); участие в культурной жизни муниципального образования в автономном округе и автономного округа;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музейной сфере, - фондово-экспозиционная деятельность, состояние электронного каталога; участие учреждения (организации) в социальной жизни муниципального образования в автономном округе и автоно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много округа; научно-исследовательская и издательская деятельность;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центров или домов ремесел - работа с мастерами декоративно-прикладного искусства, взаимодействие с художественно-экспертным советом по народным художественным промыслам автономного округа; создание информационного банка данных и информационный обмен 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государственным автономным учреждением культуры автономного округа "Окружной Дом ремесел";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сфере исполнительского искусства, - гастрольная деятельность; участие в культурной жизни муниципального образования в автономном округе и автономного округа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(в ред. 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</w:rPr>
              <w:t xml:space="preserve">постановления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Правительства ЯНАО от 13.02.2020 N 142-П) 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Информация о научно-методическом и просветительском значении творческого проекта: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культурно-досуговой сфере, - организационная, информационная, методическая и творческая деятельность учреждений культурно-досуговой сферы, ведущих работу по сохранению и развитию традиционной нар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одной культуры, любительского искусства и социокультурной деятельности;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библиотечной сфере, - деятельность, направленная на повышение эффективности работы библиотек (библиотечных систем) на основе управления социальными и технологическими нововведениями (инновациями)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включающая в себя организационные, исследовательские и педагогические функции;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образовательной организации дополнительного образования в автономном округе, реализующей дополнительные общеобразовательные программы в области культуры и искусств, - внедрение системы мер, основанных на достижениях науки и практики, направленной на вс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естороннее развитие творческого потенциала педагога, что в конечном итоге направлено на повышение качества и эффективности учебно-воспитательного процесса, на рост уровня образованности, воспитанности и развитости обучающихся;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музейной сфере, - научно-исследовательская деятельность музейных учреждений, основанная на изучении фондовых коллекций, разработке музейных каталогов, методик, необходимых для обеспечения условий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сохранности и популяризации музейных собраний, а также проектирования и организации экспозиций и выставок;</w:t>
            </w:r>
            <w:r/>
          </w:p>
          <w:p>
            <w:pPr>
              <w:ind w:left="0" w:right="0" w:firstLine="0"/>
              <w:jc w:val="both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центров или домов ремесел - изучение истории и восстановление утраченных технологий народных промыслов и ремесел, организация и проведение этнографических экспедиций, изготовление традиционных изделий декоративно-прикладного искусства, их художественны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й и технологический анализ;</w:t>
            </w:r>
            <w:r/>
          </w:p>
          <w:p>
            <w:pPr>
              <w:ind w:left="0" w:right="0" w:firstLine="0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учреждения (организации), осуществляющего деятельность в сфере исполнительского искусства, - организация просветительской деятельности как эффективной формы развития интереса к музыке, профессиональной ориентации, мотивации к продолжению музыкального 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ворчества в любительских формах (создание ансамблей и игра в них, сочинение песен, работа над новыми аранжировками и т.д.)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Общественное признание творческого проекта:</w:t>
            </w:r>
            <w:r/>
          </w:p>
          <w:p>
            <w:pPr>
              <w:ind w:left="0" w:right="0" w:firstLine="0"/>
              <w:spacing w:before="0" w:beforeAutospacing="0" w:after="0" w:line="283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наличие отзывов в средствах массовой информации, аннотаций, рецензий, грамот, дипломов или других документов (приложить документы, подтверждающие факт участия)</w:t>
            </w:r>
            <w:r/>
          </w:p>
        </w:tc>
      </w:tr>
    </w:tbl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2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постановлением Правительства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Ямало-Ненецкого автономного округа</w:t>
      </w:r>
      <w:r/>
    </w:p>
    <w:p>
      <w:pPr>
        <w:ind w:left="0" w:right="0" w:firstLine="0"/>
        <w:jc w:val="right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3 июля 2019 года N 701-П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ПОРЯДОК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ПРЕДОСТАВЛЕНИЯ ИЗ ОКРУЖНОГО БЮДЖЕТА ГРАНТА В ФОРМЕ СУБСИДИИ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НА ВЫПЛАТУ СПЕЦИАЛЬНОЙ ПРОФЕССИОНАЛЬНОЙ ПРЕМИИ В СФЕРЕ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КУЛЬТУРЫ "СОБЫТИЕ ГОДА"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Список изменяющих документов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(в ред. постановлений Правительства ЯНАО от 15.08.2019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896-П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04.03.2020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218-П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14.05.2021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375-П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16.11.2021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1005-П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12.05.2022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447-П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14.07.2022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691-П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20.10.2022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989-П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) 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I. Общие положения о предоставлении грантов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Настоящий Порядок устанавливает цель, условия и порядок предоставления из окружного бюджета гранта в форме субсидии на выплату специальной профессиональной премии в сфере культуры "Событие года" автономному или бюджетному государственному учреждению 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ультуры и искусства Ямало-Ненецкого автономного округа, автономному или бюджетному муниципальному учреждению культуры и искусства в Ямало-Ненецком автономном округе, автономной или бюджетной муниципальной образовательной организации дополнительного образов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ания в Ямало-Ненецком автономном округе, реализующей дополнительные общеобразовательные программы в области культуры и искусств, удостоенной премии (далее - грант, премия, учреждение (организация), автономный округ).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1.2. В настоящем Порядке используются следующие понятия: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грантодатель - исполнительный орган автономного округа, уполномоченный на проведение отбора на получение премии, проводимого в форме конкурса (далее - конкурс) и заключающий соглашение о предоставлении гранта (далее - соглашение) с грантополучателем в соот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ветствии с типовой формой, установленной департаментом финансов автономного округа. Под уполномоченным органом в рамках настоящего Порядка понимается департамент культуры автономного округа;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постановлений Правительства ЯНАО от 15.08.2019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896-П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от 14.05.2021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375-П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от 14.07.2022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691-П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грантополучатель - учреждение (организация), заключающее соглашение с грантодателем.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Целью предоставления гранта является поддержка и поощрение учреждений (организаций), реализующих творческие проекты, отличающиеся новизной и оригинальностью.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1.4. Финансовое обеспечение гранта осуществляется в пределах бюджетных ассигнований, предусмотренных законом автономного округа об окружном бюджете на соответствующий финансовый год и на плановый период уполномоченному органу, осуществляющему функции главн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финансовый год.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1.4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1.5. Сведения о гранте подлежат размещению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не позднее 15-го рабочего дня, следующего за днем при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нятия закона автономного округа об окружном бюджете на очередной финансовый год и на плановый период (закона автономного округа о внесении изменений в закон автономного округа об окружном бюджете на очередной финансовый год и на плановый период), при налич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технической возможности на едином портале.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1.5 введен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375-П;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20.10.2022 N 989-П)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II. Условия и порядок предоставления грантов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2.1. Размер гранта определяется в соответствии с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пунктом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постановления Правительства автономного округа, утверждающего настоящий Порядок.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Предоставление и использование гранта осуществляется в году, следующем за годом проведения конкурса.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2.3 - 2.5. Утратили силу. -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2.6. Основаниями для отказа учреждению (организации) в предоставлении гранта являются: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2.6.1. несоответствие представленных учреждением (организацией) документов требованиям, определенным в соответствии с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пунктом 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 о специальной профессиональной премии в сфере культуры "Событие года", утвержденного постановлением Правительства автономного округа от 03 июля 2019 года N 701-П, в объявлении о проведении конкурса, или непредставление (представление не в полном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объеме) указанных документов;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2.6.2. установление факта недостоверности представленной учреждением (организацией) информации.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2.6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2.7. Утратил силу. -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2.8. При отсутствии оснований для отказа учреждению (организации) в предоставлении гранта уполномоченный орган в течение 10 рабочих дней со дня принятия распоряжения Правительства автономного округа о присуждении премии принимает решение о предоставлении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чреждению (организации) гранта в форме приказа, который является основанием для заключения соглашения.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2.8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 Правительства ЯНАО от 16.11.2021 N 1005-П с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01.01.2025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 абз. 1 п. 2.8-1 будет изложен в следующей редакции: "2.8-1. В течение 10 рабочих дней со дня принятия приказа, указанного в пункте 2.8 настоящего Порядка, информация о результатах проведения конкурса размещается на едином портале (в случае проведения конк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урса в государственной интегрированной информационной системе управления общественными финансами "Электронный бюджет") или на ином сайте, на котором обеспечивается проведение конкурса (с размещением указателя страницы сайта на едином портале), а также на о</w:t>
      </w:r>
      <w:r>
        <w:rPr>
          <w:rFonts w:ascii="Times New Roman" w:hAnsi="Times New Roman" w:eastAsia="Times New Roman" w:cs="Times New Roman"/>
          <w:color w:val="392c69"/>
          <w:sz w:val="24"/>
        </w:rPr>
        <w:t xml:space="preserve">фициальном интернет-сайте уполномоченного органа https://depcul.yanao.ru. Информация о результатах проведения конкурса включает следующие сведения:".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2.8-1. В течение 10 рабочих дней со дня принятия приказа, указанного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пункте 2.8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на едином портале (при наличии технической возможности), а также на официальном интернет-сайте уполномоченного органа </w:t>
      </w:r>
      <w:hyperlink r:id="rId9" w:tooltip="&lt;div class=&quot;doc www&quot;&gt;&lt;span class=&quot;aligner&quot;&gt;&lt;div class=&quot;icon listDocWWW-16&quot;&gt;&lt;/div&gt;&lt;/span&gt;https://depcul.yanao.ru&lt;/div&gt;" w:history="1">
        <w:r>
          <w:rPr>
            <w:rStyle w:val="793"/>
            <w:rFonts w:ascii="Times New Roman" w:hAnsi="Times New Roman" w:eastAsia="Times New Roman" w:cs="Times New Roman"/>
            <w:color w:val="0000ff"/>
            <w:sz w:val="24"/>
          </w:rPr>
          <w:t xml:space="preserve">https://depcul.yanao.ru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размещается информация о результатах проведения конкурса, включающая следующие сведения: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дата, время и место проведения рассмотрения заявок;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дата, время и место оценки заявок участников конкурса;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информация об участниках конкурса, заявки которых были рассмотрены;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заявок решение о присвоен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таким заявкам порядковых номеров;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наименование получателя гранта, с которым заключается соглашение, и размер предоставляемого ему гранта.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2.8-1 введен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2.9. Уполномоченный орган в течение 10 рабочих дней со дня издания приказа, указанного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пункте 2.8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направляет учреждению (организации), способом, позволяющим подтвердить факт получения, для подписания соглашения. 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2.10. Учреждение (организация) в течение 10 рабочих дней со дня получения соглашения подписывает его и направляет в двух экземплярах в уполномоченный орган способом, позволяющим подтвердить факт получения.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2.11. Учреждение (организация), не представившее в уполномоченный орган подписанное в двух экземплярах соглашение в срок, установленный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пунктом 2.10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считается уклонившимся от его заключения.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2.12. Средства, предусмотренные уполномоченному органу на предоставление гранта на соответствующий финансовый год, в случае если они не были предоставлены учреждению (организации) в соответствии с настоящим Порядком, подлежат возврату в окружной бюджет.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2.13. Уполномоченный орган не позднее 10 рабочих дней со дня получения подписанных учреждением (организацией) двух экземпляров соглашения подписывает их и один экземпляр соглашения направляет грантополучателю способом, позволяющим подтвердить факт его полу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чения.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2.14. Изменения и дополнения в соглашение вносятся с согласия грантодателя и грантополучателя и оформляются дополнительными соглашениями, являющимися его неотъемлемой частью.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2.14-1. Результатом предоставления гранта является поддержка не менее чем одного творческого проекта, отличающегося новизной и оригинальностью, в срок не позднее 31 декабря года предоставления гранта.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Показателем, необходимым для достижения результата предоставления гранта, является количество поддержанных творческих проектов, отличающихся новизной и оригинальностью.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Значение показателя, необходимого для достижения результата предоставления гранта, устанавливается соглашением.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2.14-1 введен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2.14-2. Обязательными условиями предоставления гранта, включаемыми в соглашение, являются: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запрет приобретения за счет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ующих изделий, а также связанных с достижением результата предоставления гранта иных операций, определенных настоящим Порядком;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20.10.2022 N 989-П)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согласование новых условий соглашения в случае уменьшения уполномоченному органу ранее доведенных лимитов бюджетных обязательств, указанных в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пункте 1.4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приводящего к невозможности предоставления гранта в размере, определенном в соглашении, или расторжение соглашения при недостижении согласия по новым условиям.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Обязательным условием предоставления гранта, включаемым в соглашение и договоры (соглашения), заключаемые в целях исполнения обязательств по данному соглашению, является согласие соответственно грантополучателя и лиц, являющихся поставщиками (подрядчиками,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исполнителями) по договорам (соглашениям), заключаемым в целях исполнения обязательств по соглашению, на осуществление грантодателем и органами государственного финансового контроля проверок, предусмотренных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абзацем третьим пункта 2 статьи 78.1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Бюджетного кодекса Российской Федерации. 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12.05.2022 N 447-П) 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2.14-2 введен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2.15. Перечисление гранта грантополучателю осуществляется в срок не позднее 20 рабочих дней с даты подписания соглашения.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2.16. Грант подлежит перечислению грантополучателям на следующие счета: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бюджетным учреждениям - лицевые счета, открытые в территориальном органе Федерального казначейства или финансовом органе автономного округа (муниципального образования);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автономным учреждениям - лицевые счета, открытые в территориальном органе Федерального казначейства, финансовом органе автономного округа (муниципального образования), или расчетные счета в российских кредитных организациях.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2.17. Средства гранта предоставляются грантополучателям на финансовое обеспечение (возмещение) следующих затрат: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оплату в соответствии с заключенными договорами товаров (работ, услуг), необходимых для дальнейшей реализации и продвижения творческого проекта, за реализацию которого грантополучателю присуждена премия, а также для создания грантополучателем новых творч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еских проектов;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оплату в соответствии с заключенными договорами товаров (работ, услуг), необходимых для обеспечения участия грантополучателя с творческим проектом, за реализацию которого грантополучателю присуждена премия, в творческих конкурсах, фестивалях, культурных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акциях международного, всероссийского, межрегионального, окружного уровня;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оплату в соответствии с заключенными договорами товаров (работ, услуг), необходимых для обеспечения гастрольной, выставочной деятельности грантополучателя с творческим проектом, за реализацию которого грантополучателю присуждена премия.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III. Требования к отчетности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Грантополучатель обязан представлять грантодателю в письменном виде отчет о достижении результатов предоставления гранта и показателей, необходимых для достижения результатов предоставления гранта, а также отчет об осуществлении расходов, источником ф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инансового обеспечения которых является грант, по формам, определенным типовой формой соглашения, установленной департаментом финансов автономного округа, ежеквартально, не позднее 15 числа месяца, следующего за отчетным кварталом.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16.11.2021 N 1005-П)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Грантодатель вправе устанавливать в соглашении сроки и формы представления грантополучателем дополнительной отчетности.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3.1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14.05.2021 N 375-П)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IV. Порядок осуществления контроля (мониторинга)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за соблюдением условий и порядка предоставления грантов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ответственность за их несоблюдение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постановлений Правительства ЯНАО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16.11.2021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1005-П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от 12.05.2022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447-П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4.1. В соответствии с бюджетным законодательством Российской Федерации: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грантодатель осуществляет проверку соблюдения грантополучателем условий и порядка предоставления гранта, в том числе в части достижения значения результата предоставления гранта;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20.10.2022 N 989-П)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органы государственного финансового контроля осуществляют проверку в соответствии со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статьями 268.1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269.2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Бюджетного кодекса Российской Федерации. 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4.1 в ред.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12.05.2022 N 447-П)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При осуществлении контроля за реализацией гранта грантодатель составляет акт проверки.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4.2-1. Грантодатель проводит мониторинг достижения результатов предоставления гранта,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4.2-1 введен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16.11.2021 N 1005-П)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Средства окружного бюджета, предоставленные в форме гранта, подлежат возврату грантополучателем в случаях установления фактов: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использования гранта (части гранта) не по целевому назначению;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представления в документах недостоверных сведений о произведенных расходах и иных недостоверных сведений, содержащихся в представленных коллективом документов;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несоблюдения условий и порядка предоставления гранта, в том числе в части достижения значения результата его предоставления;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постановлений Правительства ЯНАО от 12.05.2022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447-П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от 20.10.2022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N 989-П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выявления случаев, предусмотренных соглашением, в части возврата в текущем финансовом году грантополучателем не использованных в отчетном финансовом году средств гранта.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4.4. Возврат гранта осуществляется в следующем порядке: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уполномоченный орган в течение 10 рабочих дней после подписания акта проверки направляет грантополучателю письменное требование о возврате гранта способом, позволяющим подтвердить факт получения, в случаях, предусмотренных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грантополучатель обязан произвести возврат гранта в полном объеме в течение 20 рабочих дней со дня получения от уполномоченного органа требования о возврате гранта на расчетный счет грантодателя, указанный в соглашении;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при нарушении грантополучателем срока возврата гранта, уполномоченный орган принимает меры по взысканию указанных средств в порядке, установленном законодательством Российской Федерации.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4.5. Утратил силу. -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12.05.2022 N 447-П.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4.6. Грантополучатель обязан возвратить грантодателю неиспользованную часть гранта до 15 января года, следующего за годом использования гранта.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4.7. В случае если грантополучателем не достигнуто значение результата предоставления гранта, размер средств, подлежащий возврату в окружной бюджет (V возврата), рассчитывается по формуле: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 возврата = Ik x (1 - T / S) x 0,01, </w:t>
      </w:r>
      <w:r/>
    </w:p>
    <w:p>
      <w:pPr>
        <w:ind w:left="0" w:right="0" w:firstLine="0"/>
        <w:jc w:val="center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Ik - размер гранта, предоставленного грантополучателю в отчетном финансовом году;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 - фактически достигнутое значение результата предоставления гранта на отчетную дату;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 - плановое значение результата предоставления гранта.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4.7 введен </w:t>
      </w:r>
      <w:r>
        <w:rPr>
          <w:rFonts w:ascii="Times New Roman" w:hAnsi="Times New Roman" w:eastAsia="Times New Roman" w:cs="Times New Roman"/>
          <w:color w:val="0000ff"/>
          <w:sz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ЯНАО от 20.10.2022 N 989-П) </w:t>
      </w:r>
      <w:r/>
    </w:p>
    <w:p>
      <w:pPr>
        <w:ind w:left="0" w:right="0" w:firstLine="54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beforeAutospacing="0" w:after="0" w:line="283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5">
    <w:name w:val="Heading 1"/>
    <w:basedOn w:val="811"/>
    <w:next w:val="811"/>
    <w:link w:val="6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6">
    <w:name w:val="Heading 1 Char"/>
    <w:link w:val="635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811"/>
    <w:next w:val="811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11"/>
    <w:next w:val="811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>
    <w:name w:val="No Spacing"/>
    <w:basedOn w:val="811"/>
    <w:uiPriority w:val="1"/>
    <w:qFormat/>
    <w:pPr>
      <w:spacing w:after="0" w:line="240" w:lineRule="auto"/>
    </w:pPr>
  </w:style>
  <w:style w:type="paragraph" w:styleId="815">
    <w:name w:val="List Paragraph"/>
    <w:basedOn w:val="811"/>
    <w:uiPriority w:val="34"/>
    <w:qFormat/>
    <w:pPr>
      <w:contextualSpacing/>
      <w:ind w:left="720"/>
    </w:pPr>
  </w:style>
  <w:style w:type="character" w:styleId="81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epcul.yanao.ru/" TargetMode="External"/><Relationship Id="rId9" Type="http://schemas.openxmlformats.org/officeDocument/2006/relationships/hyperlink" Target="https://depcul.yan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2023-10-10T06:34:38Z</dcterms:modified>
</cp:coreProperties>
</file>